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 bibliographie de cette conférence 2 :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J. Butler, F. Worms, </w:t>
      </w:r>
      <w:r w:rsidRPr="00594E6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Le vivable et l’invivable</w:t>
      </w: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PUF, 2021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hyperlink r:id="rId4" w:history="1">
        <w:r w:rsidRPr="00594E62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fr-FR"/>
          </w:rPr>
          <w:t>M. Dupuis, « Les</w:t>
        </w:r>
        <w:r w:rsidRPr="00594E62">
          <w:rPr>
            <w:rFonts w:ascii="Calibri" w:eastAsia="Times New Roman" w:hAnsi="Calibri" w:cs="Calibri"/>
            <w:color w:val="000000"/>
            <w:sz w:val="22"/>
            <w:szCs w:val="22"/>
            <w:lang w:eastAsia="fr-FR"/>
          </w:rPr>
          <w:t> </w:t>
        </w:r>
      </w:hyperlink>
      <w:hyperlink r:id="rId5" w:history="1">
        <w:r w:rsidRPr="00594E62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fr-FR"/>
          </w:rPr>
          <w:t>faits, les événements et les vécus en médecine intensive - Brève note d’anthropologie</w:t>
        </w:r>
        <w:r w:rsidRPr="00594E62">
          <w:rPr>
            <w:rFonts w:ascii="Calibri" w:eastAsia="Times New Roman" w:hAnsi="Calibri" w:cs="Calibri"/>
            <w:color w:val="000000"/>
            <w:sz w:val="22"/>
            <w:szCs w:val="22"/>
            <w:lang w:eastAsia="fr-FR"/>
          </w:rPr>
          <w:t> </w:t>
        </w:r>
      </w:hyperlink>
      <w:hyperlink r:id="rId6" w:history="1">
        <w:r w:rsidRPr="00594E62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fr-FR"/>
          </w:rPr>
          <w:t>clinique</w:t>
        </w:r>
      </w:hyperlink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» in </w:t>
      </w:r>
      <w:r w:rsidRPr="00594E6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Perspectives Psy</w:t>
      </w: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58 3 (2019) 195-200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J.-P. Dupuy, </w:t>
      </w:r>
      <w:r w:rsidRPr="00594E6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La catastrophe ou la vie</w:t>
      </w: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Seuil, 2021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C. </w:t>
      </w:r>
      <w:proofErr w:type="spellStart"/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Pelluchon</w:t>
      </w:r>
      <w:proofErr w:type="spellEnd"/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 </w:t>
      </w:r>
      <w:r w:rsidRPr="00594E6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Les Lumières à l’âge du vivant</w:t>
      </w: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Seuil, 2021</w:t>
      </w:r>
    </w:p>
    <w:p w:rsidR="00594E62" w:rsidRPr="00594E62" w:rsidRDefault="00594E62" w:rsidP="00594E62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F. Worms, </w:t>
      </w:r>
      <w:r w:rsidRPr="00594E6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Pour un humanisme vital</w:t>
      </w:r>
      <w:r w:rsidRPr="00594E62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Odile Jacob, 2019</w:t>
      </w:r>
    </w:p>
    <w:p w:rsidR="00594E62" w:rsidRDefault="00594E62"/>
    <w:sectPr w:rsidR="0059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2"/>
    <w:rsid w:val="005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B15FC86-DED6-D941-991A-4F690241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94E62"/>
  </w:style>
  <w:style w:type="character" w:styleId="Lienhypertexte">
    <w:name w:val="Hyperlink"/>
    <w:basedOn w:val="Policepardfaut"/>
    <w:uiPriority w:val="99"/>
    <w:semiHidden/>
    <w:unhideWhenUsed/>
    <w:rsid w:val="005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spectives-psy.org/articles/ppsy/abs/2019/03/ppsy2019583p195/ppsy2019583p195.html" TargetMode="External"/><Relationship Id="rId5" Type="http://schemas.openxmlformats.org/officeDocument/2006/relationships/hyperlink" Target="https://www.perspectives-psy.org/articles/ppsy/abs/2019/03/ppsy2019583p195/ppsy2019583p195.html" TargetMode="External"/><Relationship Id="rId4" Type="http://schemas.openxmlformats.org/officeDocument/2006/relationships/hyperlink" Target="https://www.perspectives-psy.org/articles/ppsy/abs/2019/03/ppsy2019583p195/ppsy2019583p19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des Cressonnières</dc:creator>
  <cp:keywords/>
  <dc:description/>
  <cp:lastModifiedBy>Arnaud des Cressonnières</cp:lastModifiedBy>
  <cp:revision>1</cp:revision>
  <dcterms:created xsi:type="dcterms:W3CDTF">2021-10-18T09:45:00Z</dcterms:created>
  <dcterms:modified xsi:type="dcterms:W3CDTF">2021-10-18T09:45:00Z</dcterms:modified>
</cp:coreProperties>
</file>